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0FB3" w14:textId="30C6580C" w:rsidR="001F1356" w:rsidRPr="001F1356" w:rsidRDefault="001F1356" w:rsidP="001F1356">
      <w:pPr>
        <w:jc w:val="center"/>
        <w:rPr>
          <w:rFonts w:ascii="Arial Narrow" w:hAnsi="Arial Narrow"/>
          <w:b/>
          <w:bCs/>
        </w:rPr>
      </w:pPr>
      <w:r w:rsidRPr="001F1356">
        <w:rPr>
          <w:rFonts w:ascii="Arial Narrow" w:hAnsi="Arial Narrow"/>
          <w:b/>
          <w:bCs/>
        </w:rPr>
        <w:t>TESTO ESERCIZIO 1</w:t>
      </w:r>
      <w:r w:rsidR="009F4A2D">
        <w:rPr>
          <w:rFonts w:ascii="Arial Narrow" w:hAnsi="Arial Narrow"/>
          <w:b/>
          <w:bCs/>
        </w:rPr>
        <w:t>7</w:t>
      </w:r>
    </w:p>
    <w:p w14:paraId="5D1CEF77" w14:textId="77777777" w:rsidR="001F1356" w:rsidRPr="001F1356" w:rsidRDefault="001F1356" w:rsidP="001F1356">
      <w:pPr>
        <w:jc w:val="center"/>
        <w:rPr>
          <w:rFonts w:ascii="Arial Narrow" w:hAnsi="Arial Narrow"/>
        </w:rPr>
      </w:pPr>
    </w:p>
    <w:p w14:paraId="759C360C" w14:textId="77777777" w:rsidR="009F4A2D" w:rsidRDefault="009F4A2D" w:rsidP="009F4A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94698">
        <w:rPr>
          <w:rFonts w:ascii="Arial Narrow" w:hAnsi="Arial Narrow"/>
          <w:highlight w:val="yellow"/>
        </w:rPr>
        <w:t>L’1.1.2004</w:t>
      </w:r>
      <w:r>
        <w:rPr>
          <w:rFonts w:ascii="Arial Narrow" w:hAnsi="Arial Narrow"/>
        </w:rPr>
        <w:t xml:space="preserve"> la società A ha acquistato una partecipazione del 90% nella società B pagando il prezzo di </w:t>
      </w:r>
      <w:r w:rsidRPr="00494698">
        <w:rPr>
          <w:rFonts w:ascii="Arial Narrow" w:hAnsi="Arial Narrow"/>
          <w:highlight w:val="cyan"/>
        </w:rPr>
        <w:t>4.000</w:t>
      </w:r>
      <w:r>
        <w:rPr>
          <w:rFonts w:ascii="Arial Narrow" w:hAnsi="Arial Narrow"/>
        </w:rPr>
        <w:t>. Il patrimonio netto della società B alla data dell’acquisto era così composto:</w:t>
      </w:r>
    </w:p>
    <w:p w14:paraId="04D25762" w14:textId="77777777" w:rsidR="009F4A2D" w:rsidRDefault="009F4A2D" w:rsidP="009F4A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Capitale sociale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1.000</w:t>
      </w:r>
    </w:p>
    <w:p w14:paraId="146F092B" w14:textId="77777777" w:rsidR="009F4A2D" w:rsidRDefault="009F4A2D" w:rsidP="009F4A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Riserve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    500</w:t>
      </w:r>
    </w:p>
    <w:p w14:paraId="02BF83CD" w14:textId="77777777" w:rsidR="009F4A2D" w:rsidRDefault="009F4A2D" w:rsidP="009F4A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Utile 2003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    400</w:t>
      </w:r>
    </w:p>
    <w:p w14:paraId="08300666" w14:textId="77777777" w:rsidR="009F4A2D" w:rsidRDefault="009F4A2D" w:rsidP="009F4A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TOTALE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494698">
        <w:rPr>
          <w:rFonts w:ascii="Arial Narrow" w:hAnsi="Arial Narrow"/>
          <w:highlight w:val="green"/>
        </w:rPr>
        <w:t>1.900</w:t>
      </w:r>
      <w:r>
        <w:rPr>
          <w:rFonts w:ascii="Arial Narrow" w:hAnsi="Arial Narrow"/>
        </w:rPr>
        <w:tab/>
      </w:r>
    </w:p>
    <w:p w14:paraId="35723001" w14:textId="77777777" w:rsidR="009F4A2D" w:rsidRDefault="009F4A2D" w:rsidP="009F4A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Secondo una perizia riferita alla data dell’acquisto, la differenza tra il costo di acquisto della partecipazione (4.000) e la corrispondente frazione di patrimonio netto contabile (1.710), è dovuta per 1800, già al netto dell’effetto fiscale, alla quota dei plusvalori latenti delle immobilizzazioni e, per la differenza, ad avviamento. La vita utile residua degli impianti è di </w:t>
      </w:r>
      <w:proofErr w:type="gramStart"/>
      <w:r>
        <w:rPr>
          <w:rFonts w:ascii="Arial Narrow" w:hAnsi="Arial Narrow"/>
        </w:rPr>
        <w:t>10</w:t>
      </w:r>
      <w:proofErr w:type="gramEnd"/>
      <w:r>
        <w:rPr>
          <w:rFonts w:ascii="Arial Narrow" w:hAnsi="Arial Narrow"/>
        </w:rPr>
        <w:t xml:space="preserve"> anni, l’avviamento non è oggetto di ammortamento. Le differenze di consolidamento possono essere contabilizzate già al netto dell’effetto fiscale.</w:t>
      </w:r>
    </w:p>
    <w:p w14:paraId="78A862A1" w14:textId="77777777" w:rsidR="009F4A2D" w:rsidRDefault="009F4A2D" w:rsidP="009F4A2D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L’utile di esercizio di B del 2003 è stato integralmente accantonato a riserva, mentre l’utile di esercizio di B del 2004 di 500 è stato integralmente distribuito come dividendo nel corso del 2005.</w:t>
      </w:r>
    </w:p>
    <w:p w14:paraId="6EDCA7F5" w14:textId="77777777" w:rsidR="009F4A2D" w:rsidRDefault="009F4A2D" w:rsidP="009F4A2D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Nel mese di giugno del 2005 la società B ha venduto ad A dei prodotti finiti la prezzo di 500 il cui costo di produzione di era pari a 300, con pagamento a 60 giorni. Al temine dell’esercizio A ha integralmente venduto a terzi questi beni al prezzo di 450. L’aliquota fiscale è del 25%. </w:t>
      </w:r>
    </w:p>
    <w:p w14:paraId="22244A62" w14:textId="77777777" w:rsidR="009F4A2D" w:rsidRDefault="009F4A2D" w:rsidP="009F4A2D">
      <w:pPr>
        <w:pStyle w:val="Corpotesto"/>
        <w:spacing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Si rediga il bilancio consolidato al </w:t>
      </w:r>
      <w:r w:rsidRPr="00494698">
        <w:rPr>
          <w:rFonts w:ascii="Arial Narrow" w:hAnsi="Arial Narrow"/>
          <w:sz w:val="20"/>
          <w:highlight w:val="yellow"/>
        </w:rPr>
        <w:t>31.12.2005</w:t>
      </w:r>
      <w:r>
        <w:rPr>
          <w:rFonts w:ascii="Arial Narrow" w:hAnsi="Arial Narrow"/>
          <w:sz w:val="20"/>
        </w:rPr>
        <w:t xml:space="preserve"> secondo i principi contabili </w:t>
      </w:r>
      <w:r w:rsidRPr="00494698">
        <w:rPr>
          <w:rFonts w:ascii="Arial Narrow" w:hAnsi="Arial Narrow"/>
          <w:sz w:val="20"/>
          <w:highlight w:val="yellow"/>
        </w:rPr>
        <w:t>internazionali</w:t>
      </w:r>
      <w:r>
        <w:rPr>
          <w:rFonts w:ascii="Arial Narrow" w:hAnsi="Arial Narrow"/>
          <w:sz w:val="20"/>
        </w:rPr>
        <w:t xml:space="preserve"> (teoria della casa madre modificata), tenendo conto che i bilanci di esercizio delle società A e B alle stesse date sono indicati nel foglio di lavoro.</w:t>
      </w:r>
    </w:p>
    <w:p w14:paraId="65464620" w14:textId="77777777" w:rsidR="009F4A2D" w:rsidRDefault="009F4A2D" w:rsidP="009F4A2D">
      <w:pPr>
        <w:pStyle w:val="Corpotesto"/>
        <w:spacing w:line="240" w:lineRule="auto"/>
        <w:rPr>
          <w:rFonts w:ascii="Arial Narrow" w:hAnsi="Arial Narrow"/>
          <w:sz w:val="20"/>
        </w:rPr>
      </w:pPr>
    </w:p>
    <w:p w14:paraId="28A016A8" w14:textId="77777777" w:rsidR="001F1356" w:rsidRDefault="001F1356"/>
    <w:sectPr w:rsidR="001F1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56"/>
    <w:rsid w:val="001F1356"/>
    <w:rsid w:val="005915C4"/>
    <w:rsid w:val="009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E997"/>
  <w15:chartTrackingRefBased/>
  <w15:docId w15:val="{50FE5BD9-3102-42EA-A650-A116EBC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F1356"/>
    <w:pPr>
      <w:spacing w:line="300" w:lineRule="exact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1F135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APV1</dc:creator>
  <cp:keywords/>
  <dc:description/>
  <cp:lastModifiedBy>Studio APV1</cp:lastModifiedBy>
  <cp:revision>2</cp:revision>
  <dcterms:created xsi:type="dcterms:W3CDTF">2021-12-02T13:51:00Z</dcterms:created>
  <dcterms:modified xsi:type="dcterms:W3CDTF">2021-12-02T13:51:00Z</dcterms:modified>
</cp:coreProperties>
</file>